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8" w:rsidRPr="001A3D2A" w:rsidRDefault="00D847B8" w:rsidP="00D847B8">
      <w:pPr>
        <w:rPr>
          <w:rStyle w:val="Strong"/>
        </w:rPr>
      </w:pPr>
      <w:r>
        <w:rPr>
          <w:rStyle w:val="Strong"/>
          <w:rFonts w:hint="eastAsia"/>
        </w:rPr>
        <w:t>BODY SURFACE AREA-INDEXED LEFT ATRIAL VOLUME PARADOX AFTER SURGICAL TREATMENT FOR MORBID OBESITY</w:t>
      </w:r>
    </w:p>
    <w:p w:rsidR="00D847B8" w:rsidRPr="00C1715C" w:rsidRDefault="00D847B8" w:rsidP="00D847B8">
      <w:pPr>
        <w:rPr>
          <w:b/>
          <w:bCs/>
          <w:u w:val="single"/>
        </w:rPr>
      </w:pPr>
      <w:r w:rsidRPr="00C1715C">
        <w:t>G.H. Yao</w:t>
      </w:r>
      <w:r w:rsidRPr="001A3D2A">
        <w:t>, L</w:t>
      </w:r>
      <w:r>
        <w:t xml:space="preserve">. </w:t>
      </w:r>
      <w:proofErr w:type="spellStart"/>
      <w:r w:rsidRPr="001A3D2A">
        <w:t>Navaravong</w:t>
      </w:r>
      <w:proofErr w:type="spellEnd"/>
      <w:r w:rsidRPr="001A3D2A">
        <w:t>, J</w:t>
      </w:r>
      <w:r>
        <w:t xml:space="preserve">. </w:t>
      </w:r>
      <w:proofErr w:type="spellStart"/>
      <w:r w:rsidRPr="001A3D2A">
        <w:t>Abboud</w:t>
      </w:r>
      <w:proofErr w:type="spellEnd"/>
      <w:r w:rsidRPr="001A3D2A">
        <w:t>, J</w:t>
      </w:r>
      <w:r>
        <w:t xml:space="preserve">. </w:t>
      </w:r>
      <w:proofErr w:type="spellStart"/>
      <w:r w:rsidRPr="001A3D2A">
        <w:t>D'Amours</w:t>
      </w:r>
      <w:proofErr w:type="spellEnd"/>
      <w:r w:rsidRPr="001A3D2A">
        <w:t>, A</w:t>
      </w:r>
      <w:r>
        <w:t xml:space="preserve">. </w:t>
      </w:r>
      <w:r w:rsidRPr="001A3D2A">
        <w:t xml:space="preserve">King, </w:t>
      </w:r>
      <w:bookmarkStart w:id="0" w:name="_GoBack"/>
      <w:r w:rsidRPr="00C1715C">
        <w:rPr>
          <w:b/>
          <w:bCs/>
          <w:u w:val="single"/>
        </w:rPr>
        <w:t>L. Jiang</w:t>
      </w:r>
    </w:p>
    <w:bookmarkEnd w:id="0"/>
    <w:p w:rsidR="00D847B8" w:rsidRPr="001A3D2A" w:rsidRDefault="00D847B8" w:rsidP="0060212B">
      <w:r w:rsidRPr="001A3D2A">
        <w:t>Div</w:t>
      </w:r>
      <w:r w:rsidR="0060212B">
        <w:t>.</w:t>
      </w:r>
      <w:r w:rsidRPr="001A3D2A">
        <w:t xml:space="preserve"> of Cardiology, </w:t>
      </w:r>
      <w:proofErr w:type="spellStart"/>
      <w:smartTag w:uri="urn:schemas-microsoft-com:office:smarttags" w:element="PlaceName">
        <w:r w:rsidRPr="001A3D2A">
          <w:t>Baystate</w:t>
        </w:r>
      </w:smartTag>
      <w:proofErr w:type="spellEnd"/>
      <w:r w:rsidRPr="001A3D2A">
        <w:t xml:space="preserve"> </w:t>
      </w:r>
      <w:smartTag w:uri="urn:schemas-microsoft-com:office:smarttags" w:element="PlaceName">
        <w:r w:rsidRPr="001A3D2A">
          <w:t>Medical</w:t>
        </w:r>
      </w:smartTag>
      <w:r w:rsidRPr="001A3D2A">
        <w:t xml:space="preserve"> </w:t>
      </w:r>
      <w:smartTag w:uri="urn:schemas-microsoft-com:office:smarttags" w:element="PlaceType">
        <w:r w:rsidRPr="001A3D2A">
          <w:t>Center</w:t>
        </w:r>
      </w:smartTag>
      <w:r w:rsidRPr="001A3D2A">
        <w:t xml:space="preserve">, </w:t>
      </w:r>
      <w:smartTag w:uri="urn:schemas-microsoft-com:office:smarttags" w:element="PlaceName">
        <w:r w:rsidRPr="001A3D2A">
          <w:t>Tufts</w:t>
        </w:r>
      </w:smartTag>
      <w:r w:rsidRPr="001A3D2A">
        <w:t xml:space="preserve"> </w:t>
      </w:r>
      <w:smartTag w:uri="urn:schemas-microsoft-com:office:smarttags" w:element="PlaceType">
        <w:r w:rsidRPr="001A3D2A">
          <w:t>University</w:t>
        </w:r>
      </w:smartTag>
      <w:r w:rsidRPr="001A3D2A">
        <w:t xml:space="preserve"> </w:t>
      </w:r>
      <w:smartTag w:uri="urn:schemas-microsoft-com:office:smarttags" w:element="PlaceType">
        <w:r w:rsidRPr="001A3D2A">
          <w:t>School</w:t>
        </w:r>
      </w:smartTag>
      <w:r w:rsidRPr="001A3D2A">
        <w:t xml:space="preserve"> of Medicine, </w:t>
      </w:r>
      <w:smartTag w:uri="urn:schemas-microsoft-com:office:smarttags" w:element="place">
        <w:smartTag w:uri="urn:schemas-microsoft-com:office:smarttags" w:element="City">
          <w:r w:rsidRPr="001A3D2A">
            <w:t>Springfield</w:t>
          </w:r>
        </w:smartTag>
        <w:r w:rsidRPr="001A3D2A">
          <w:t xml:space="preserve">, </w:t>
        </w:r>
        <w:smartTag w:uri="urn:schemas-microsoft-com:office:smarttags" w:element="State">
          <w:r w:rsidRPr="001A3D2A">
            <w:t>MA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USA</w:t>
          </w:r>
        </w:smartTag>
      </w:smartTag>
    </w:p>
    <w:p w:rsidR="00BE3403" w:rsidRDefault="00BE3403"/>
    <w:p w:rsidR="00D847B8" w:rsidRPr="001A3D2A" w:rsidRDefault="00D847B8" w:rsidP="00D847B8">
      <w:pPr>
        <w:jc w:val="both"/>
      </w:pPr>
      <w:r w:rsidRPr="00D208FE">
        <w:rPr>
          <w:rFonts w:hint="eastAsia"/>
          <w:bCs/>
        </w:rPr>
        <w:t>Objectives</w:t>
      </w:r>
      <w:r w:rsidRPr="001A3D2A">
        <w:t xml:space="preserve">: </w:t>
      </w:r>
      <w:r>
        <w:rPr>
          <w:rFonts w:hint="eastAsia"/>
        </w:rPr>
        <w:t>S</w:t>
      </w:r>
      <w:r w:rsidRPr="001A3D2A">
        <w:t xml:space="preserve">tudies have shown </w:t>
      </w:r>
      <w:r>
        <w:rPr>
          <w:rFonts w:hint="eastAsia"/>
        </w:rPr>
        <w:t>l</w:t>
      </w:r>
      <w:r w:rsidRPr="001A3D2A">
        <w:t>eft atrial volume (LAV) indexed to body surface area (BSA)</w:t>
      </w:r>
      <w:r>
        <w:t xml:space="preserve"> underestimat</w:t>
      </w:r>
      <w:r>
        <w:rPr>
          <w:rFonts w:hint="eastAsia"/>
        </w:rPr>
        <w:t>es</w:t>
      </w:r>
      <w:r w:rsidRPr="001A3D2A">
        <w:t xml:space="preserve"> the LA size in obese population due to the disproportionately larger BSA. We </w:t>
      </w:r>
      <w:r>
        <w:rPr>
          <w:rFonts w:hint="eastAsia"/>
        </w:rPr>
        <w:t xml:space="preserve">aimed to evaluate how </w:t>
      </w:r>
      <w:r w:rsidRPr="001A3D2A">
        <w:t xml:space="preserve">the </w:t>
      </w:r>
      <w:proofErr w:type="gramStart"/>
      <w:r w:rsidRPr="001A3D2A">
        <w:t xml:space="preserve">use of LAV/BSA paradoxically </w:t>
      </w:r>
      <w:r>
        <w:rPr>
          <w:rFonts w:hint="eastAsia"/>
        </w:rPr>
        <w:t>show</w:t>
      </w:r>
      <w:proofErr w:type="gramEnd"/>
      <w:r w:rsidRPr="001A3D2A">
        <w:t xml:space="preserve"> LA enlarg</w:t>
      </w:r>
      <w:r>
        <w:rPr>
          <w:rFonts w:hint="eastAsia"/>
        </w:rPr>
        <w:t>ing</w:t>
      </w:r>
      <w:r w:rsidRPr="001A3D2A">
        <w:t xml:space="preserve"> after surgically</w:t>
      </w:r>
      <w:r>
        <w:rPr>
          <w:rFonts w:hint="eastAsia"/>
        </w:rPr>
        <w:t>-</w:t>
      </w:r>
      <w:r w:rsidRPr="001A3D2A">
        <w:t xml:space="preserve">induced weight loss in obese patients. </w:t>
      </w:r>
    </w:p>
    <w:p w:rsidR="00D847B8" w:rsidRPr="001A3D2A" w:rsidRDefault="00D847B8" w:rsidP="00D847B8">
      <w:pPr>
        <w:jc w:val="both"/>
      </w:pPr>
      <w:r w:rsidRPr="00D208FE">
        <w:rPr>
          <w:bCs/>
        </w:rPr>
        <w:t>Methods</w:t>
      </w:r>
      <w:r w:rsidRPr="00D208FE">
        <w:rPr>
          <w:rFonts w:hint="eastAsia"/>
          <w:bCs/>
        </w:rPr>
        <w:t xml:space="preserve"> and results</w:t>
      </w:r>
      <w:r w:rsidRPr="001A3D2A">
        <w:t xml:space="preserve">: We reviewed 17 morbidly obese patients </w:t>
      </w:r>
      <w:r>
        <w:rPr>
          <w:rFonts w:hint="eastAsia"/>
        </w:rPr>
        <w:t xml:space="preserve">with </w:t>
      </w:r>
      <w:r w:rsidRPr="001A3D2A">
        <w:t xml:space="preserve">body mass index (BMI)&gt;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kg"/>
        </w:smartTagPr>
        <w:r w:rsidRPr="001A3D2A">
          <w:t>40 kg</w:t>
        </w:r>
      </w:smartTag>
      <w:r w:rsidRPr="001A3D2A">
        <w:t>/m</w:t>
      </w:r>
      <w:r w:rsidRPr="001A3D2A">
        <w:rPr>
          <w:vertAlign w:val="superscript"/>
        </w:rPr>
        <w:t>2</w:t>
      </w:r>
      <w:r w:rsidRPr="001A3D2A">
        <w:t xml:space="preserve"> who underwent surgical treatments (gastric bypass 7 and gastric banding 10) and had echocardiograms both before (</w:t>
      </w:r>
      <w:r w:rsidRPr="001A3D2A">
        <w:rPr>
          <w:color w:val="292526"/>
        </w:rPr>
        <w:t>within 6 months)</w:t>
      </w:r>
      <w:r w:rsidRPr="001A3D2A">
        <w:t xml:space="preserve"> and after (</w:t>
      </w:r>
      <w:r w:rsidRPr="001A3D2A">
        <w:rPr>
          <w:color w:val="292526"/>
        </w:rPr>
        <w:t>&gt;1 year)</w:t>
      </w:r>
      <w:r w:rsidRPr="001A3D2A">
        <w:t xml:space="preserve"> the operation. </w:t>
      </w:r>
      <w:r w:rsidRPr="001A3D2A">
        <w:rPr>
          <w:color w:val="292526"/>
        </w:rPr>
        <w:t xml:space="preserve">Patients with cardiomyopathy and severe valve disease were excluded, </w:t>
      </w:r>
      <w:r w:rsidRPr="001A3D2A">
        <w:t xml:space="preserve">which resulted in 15 patients (mean age 52.4 ± 10.6 years, 53% male). </w:t>
      </w:r>
      <w:r w:rsidRPr="001A3D2A">
        <w:rPr>
          <w:color w:val="292526"/>
        </w:rPr>
        <w:t xml:space="preserve">LAV was measured using biplane Simpson’s method on digitally recorded imaging. LAV index was determined by BSA and by height. </w:t>
      </w:r>
      <w:r w:rsidRPr="001A3D2A">
        <w:t xml:space="preserve">After a follow-up of 2.2 ± 0.6 years, there was </w:t>
      </w:r>
      <w:r w:rsidRPr="001A3D2A">
        <w:rPr>
          <w:color w:val="292526"/>
        </w:rPr>
        <w:t xml:space="preserve">a significant </w:t>
      </w:r>
      <w:r>
        <w:rPr>
          <w:rFonts w:hint="eastAsia"/>
          <w:color w:val="292526"/>
        </w:rPr>
        <w:t>decrease</w:t>
      </w:r>
      <w:r w:rsidRPr="001A3D2A">
        <w:rPr>
          <w:color w:val="292526"/>
        </w:rPr>
        <w:t xml:space="preserve"> in</w:t>
      </w:r>
      <w:r w:rsidRPr="001A3D2A">
        <w:t xml:space="preserve"> weight, BMI and BSA. LAV and LAV/height only showed a trend</w:t>
      </w:r>
      <w:r>
        <w:rPr>
          <w:rFonts w:hint="eastAsia"/>
        </w:rPr>
        <w:t xml:space="preserve"> of</w:t>
      </w:r>
      <w:r w:rsidRPr="001A3D2A">
        <w:t xml:space="preserve"> </w:t>
      </w:r>
      <w:r>
        <w:rPr>
          <w:rFonts w:hint="eastAsia"/>
        </w:rPr>
        <w:t>decrease without</w:t>
      </w:r>
      <w:r w:rsidRPr="001A3D2A">
        <w:t xml:space="preserve"> significan</w:t>
      </w:r>
      <w:r>
        <w:rPr>
          <w:rFonts w:hint="eastAsia"/>
        </w:rPr>
        <w:t>ce</w:t>
      </w:r>
      <w:r w:rsidRPr="001A3D2A">
        <w:t>. However, LAV/</w:t>
      </w:r>
      <w:r>
        <w:rPr>
          <w:rFonts w:hint="eastAsia"/>
        </w:rPr>
        <w:t>BSA</w:t>
      </w:r>
      <w:r w:rsidRPr="001A3D2A">
        <w:t xml:space="preserve"> paradoxically increased significantly.</w:t>
      </w:r>
    </w:p>
    <w:p w:rsidR="00D847B8" w:rsidRPr="001A3D2A" w:rsidRDefault="00D847B8" w:rsidP="00D847B8">
      <w:pPr>
        <w:jc w:val="both"/>
        <w:rPr>
          <w:color w:val="292526"/>
        </w:rPr>
      </w:pPr>
      <w:r w:rsidRPr="00D208FE">
        <w:rPr>
          <w:bCs/>
        </w:rPr>
        <w:t>Conclusion</w:t>
      </w:r>
      <w:r w:rsidRPr="00D208FE">
        <w:rPr>
          <w:rFonts w:hint="eastAsia"/>
          <w:bCs/>
        </w:rPr>
        <w:t>s</w:t>
      </w:r>
      <w:r w:rsidRPr="00D208FE">
        <w:rPr>
          <w:bCs/>
        </w:rPr>
        <w:t>:</w:t>
      </w:r>
      <w:r w:rsidRPr="001A3D2A">
        <w:t xml:space="preserve"> The study demonstrates that BSA</w:t>
      </w:r>
      <w:r>
        <w:rPr>
          <w:rFonts w:hint="eastAsia"/>
        </w:rPr>
        <w:t>/</w:t>
      </w:r>
      <w:r w:rsidRPr="001A3D2A">
        <w:rPr>
          <w:rStyle w:val="Strong"/>
          <w:b w:val="0"/>
        </w:rPr>
        <w:t>LAV</w:t>
      </w:r>
      <w:r w:rsidRPr="001A3D2A">
        <w:rPr>
          <w:color w:val="292526"/>
        </w:rPr>
        <w:t xml:space="preserve"> </w:t>
      </w:r>
      <w:r w:rsidRPr="001A3D2A">
        <w:t>paradoxically increased in morbidly obese patients after successful surgically induced weight loss. This paradox again implies that BSA</w:t>
      </w:r>
      <w:r>
        <w:rPr>
          <w:rFonts w:hint="eastAsia"/>
        </w:rPr>
        <w:t>/</w:t>
      </w:r>
      <w:r w:rsidRPr="001A3D2A">
        <w:rPr>
          <w:rStyle w:val="Strong"/>
          <w:b w:val="0"/>
        </w:rPr>
        <w:t>LAV</w:t>
      </w:r>
      <w:r w:rsidRPr="001A3D2A">
        <w:rPr>
          <w:color w:val="292526"/>
        </w:rPr>
        <w:t xml:space="preserve"> is inappropriate in the assessment of LA size in this obese population. </w:t>
      </w:r>
    </w:p>
    <w:p w:rsidR="00D847B8" w:rsidRPr="001A3D2A" w:rsidRDefault="00D847B8" w:rsidP="00D847B8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8"/>
        <w:gridCol w:w="1680"/>
        <w:gridCol w:w="1680"/>
        <w:gridCol w:w="1365"/>
      </w:tblGrid>
      <w:tr w:rsidR="00D847B8" w:rsidRPr="001A3D2A" w:rsidTr="003256B9">
        <w:tc>
          <w:tcPr>
            <w:tcW w:w="6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Clinical and echo data at baseline and follow-up</w:t>
            </w:r>
          </w:p>
        </w:tc>
      </w:tr>
      <w:tr w:rsidR="00D847B8" w:rsidRPr="001A3D2A" w:rsidTr="003256B9"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Baseline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Follow-up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p value</w:t>
            </w:r>
          </w:p>
        </w:tc>
      </w:tr>
      <w:tr w:rsidR="00D847B8" w:rsidRPr="001A3D2A" w:rsidTr="003256B9"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Weight (</w:t>
            </w:r>
            <w:r>
              <w:rPr>
                <w:rFonts w:hint="eastAsia"/>
              </w:rPr>
              <w:t>k</w:t>
            </w:r>
            <w:r w:rsidRPr="001A3D2A">
              <w:t>g)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137.2 ± 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95.7 ±18.7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&lt; .001</w:t>
            </w:r>
          </w:p>
        </w:tc>
      </w:tr>
      <w:tr w:rsidR="00D847B8" w:rsidRPr="001A3D2A" w:rsidTr="003256B9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BMI (</w:t>
            </w:r>
            <w:r>
              <w:rPr>
                <w:rFonts w:hint="eastAsia"/>
              </w:rPr>
              <w:t>k</w:t>
            </w:r>
            <w:r w:rsidRPr="001A3D2A">
              <w:t>g/m</w:t>
            </w:r>
            <w:r w:rsidRPr="001A3D2A">
              <w:rPr>
                <w:vertAlign w:val="superscript"/>
              </w:rPr>
              <w:t>2</w:t>
            </w:r>
            <w:r w:rsidRPr="001A3D2A"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47.3 ± 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33.7 ± 6.4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&lt; .001</w:t>
            </w:r>
          </w:p>
        </w:tc>
      </w:tr>
      <w:tr w:rsidR="00D847B8" w:rsidRPr="001A3D2A" w:rsidTr="003256B9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BSA (m</w:t>
            </w:r>
            <w:r w:rsidRPr="001A3D2A">
              <w:rPr>
                <w:vertAlign w:val="superscript"/>
              </w:rPr>
              <w:t>2</w:t>
            </w:r>
            <w:r w:rsidRPr="001A3D2A"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2.52 ± 0.4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2.1 ± 0.4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&lt; .001</w:t>
            </w:r>
          </w:p>
        </w:tc>
      </w:tr>
      <w:tr w:rsidR="00D847B8" w:rsidRPr="001A3D2A" w:rsidTr="003256B9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LAV (ml)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70.6 ± 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67.3 ± 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&gt; .05</w:t>
            </w:r>
          </w:p>
        </w:tc>
      </w:tr>
      <w:tr w:rsidR="00D847B8" w:rsidRPr="001A3D2A" w:rsidTr="003256B9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LAV/height (ml/m)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41.9 ± 6.7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40.3 ± 8.3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&gt; .05</w:t>
            </w:r>
          </w:p>
        </w:tc>
      </w:tr>
      <w:tr w:rsidR="00D847B8" w:rsidRPr="001A3D2A" w:rsidTr="003256B9">
        <w:trPr>
          <w:trHeight w:val="347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LAV/BSA (ml/m</w:t>
            </w:r>
            <w:r w:rsidRPr="001A3D2A">
              <w:rPr>
                <w:vertAlign w:val="superscript"/>
              </w:rPr>
              <w:t>2</w:t>
            </w:r>
            <w:r w:rsidRPr="001A3D2A"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27.8 ± 8.3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32.1 ± 7.8*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t>&lt; .05</w:t>
            </w:r>
          </w:p>
        </w:tc>
      </w:tr>
      <w:tr w:rsidR="00D847B8" w:rsidRPr="001A3D2A" w:rsidTr="003256B9"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7B8" w:rsidRPr="001A3D2A" w:rsidRDefault="00D847B8" w:rsidP="003256B9">
            <w:pPr>
              <w:jc w:val="both"/>
            </w:pPr>
            <w:r w:rsidRPr="001A3D2A">
              <w:rPr>
                <w:color w:val="191919"/>
                <w:lang w:val="en"/>
              </w:rPr>
              <w:t>* Paradoxically increased at follow-up</w:t>
            </w:r>
          </w:p>
        </w:tc>
      </w:tr>
    </w:tbl>
    <w:p w:rsidR="00D847B8" w:rsidRDefault="00D847B8" w:rsidP="00D847B8"/>
    <w:p w:rsidR="00D847B8" w:rsidRDefault="00D847B8"/>
    <w:sectPr w:rsidR="00D847B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2B" w:rsidRDefault="0060212B" w:rsidP="0060212B">
      <w:r>
        <w:separator/>
      </w:r>
    </w:p>
  </w:endnote>
  <w:endnote w:type="continuationSeparator" w:id="0">
    <w:p w:rsidR="0060212B" w:rsidRDefault="0060212B" w:rsidP="0060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2B" w:rsidRDefault="0060212B" w:rsidP="0060212B">
      <w:r>
        <w:separator/>
      </w:r>
    </w:p>
  </w:footnote>
  <w:footnote w:type="continuationSeparator" w:id="0">
    <w:p w:rsidR="0060212B" w:rsidRDefault="0060212B" w:rsidP="0060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2B" w:rsidRDefault="0060212B" w:rsidP="0060212B">
    <w:pPr>
      <w:pStyle w:val="Header"/>
    </w:pPr>
    <w:r>
      <w:t>1386, poster or oral, cat: 26</w:t>
    </w:r>
  </w:p>
  <w:p w:rsidR="0060212B" w:rsidRDefault="0060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B8"/>
    <w:rsid w:val="0001467B"/>
    <w:rsid w:val="00054857"/>
    <w:rsid w:val="00096D03"/>
    <w:rsid w:val="000B058C"/>
    <w:rsid w:val="000D5F0A"/>
    <w:rsid w:val="001003E3"/>
    <w:rsid w:val="001251D7"/>
    <w:rsid w:val="0017569E"/>
    <w:rsid w:val="001C77D7"/>
    <w:rsid w:val="002064DC"/>
    <w:rsid w:val="0029576F"/>
    <w:rsid w:val="002B327C"/>
    <w:rsid w:val="002B5EA0"/>
    <w:rsid w:val="00307C0D"/>
    <w:rsid w:val="003271B0"/>
    <w:rsid w:val="003A7A29"/>
    <w:rsid w:val="00471C3C"/>
    <w:rsid w:val="004B5313"/>
    <w:rsid w:val="00534B0D"/>
    <w:rsid w:val="005870FB"/>
    <w:rsid w:val="00593302"/>
    <w:rsid w:val="005C1EBE"/>
    <w:rsid w:val="005E552E"/>
    <w:rsid w:val="005F0666"/>
    <w:rsid w:val="0060212B"/>
    <w:rsid w:val="00606073"/>
    <w:rsid w:val="00656559"/>
    <w:rsid w:val="00674A57"/>
    <w:rsid w:val="006938DB"/>
    <w:rsid w:val="006A04F8"/>
    <w:rsid w:val="006C6F95"/>
    <w:rsid w:val="006F52CC"/>
    <w:rsid w:val="00710A50"/>
    <w:rsid w:val="00771B8A"/>
    <w:rsid w:val="007A6EE3"/>
    <w:rsid w:val="008513B5"/>
    <w:rsid w:val="00861A3C"/>
    <w:rsid w:val="008F538B"/>
    <w:rsid w:val="00936BAD"/>
    <w:rsid w:val="0095258D"/>
    <w:rsid w:val="0099611C"/>
    <w:rsid w:val="009A1AF8"/>
    <w:rsid w:val="009A7192"/>
    <w:rsid w:val="009B6143"/>
    <w:rsid w:val="009E3B35"/>
    <w:rsid w:val="009F6B04"/>
    <w:rsid w:val="00A248BA"/>
    <w:rsid w:val="00A37090"/>
    <w:rsid w:val="00AA4FDD"/>
    <w:rsid w:val="00AD1CB1"/>
    <w:rsid w:val="00AF6587"/>
    <w:rsid w:val="00B00990"/>
    <w:rsid w:val="00BC2816"/>
    <w:rsid w:val="00BD17B1"/>
    <w:rsid w:val="00BD1B8A"/>
    <w:rsid w:val="00BE3403"/>
    <w:rsid w:val="00C07DD9"/>
    <w:rsid w:val="00C10DD7"/>
    <w:rsid w:val="00C113BC"/>
    <w:rsid w:val="00C16450"/>
    <w:rsid w:val="00C1715C"/>
    <w:rsid w:val="00C54EDF"/>
    <w:rsid w:val="00D01779"/>
    <w:rsid w:val="00D847B8"/>
    <w:rsid w:val="00DA5EA0"/>
    <w:rsid w:val="00DD2A56"/>
    <w:rsid w:val="00DD36AE"/>
    <w:rsid w:val="00DE75B1"/>
    <w:rsid w:val="00EB4259"/>
    <w:rsid w:val="00EB4FDA"/>
    <w:rsid w:val="00ED6C20"/>
    <w:rsid w:val="00EF5B24"/>
    <w:rsid w:val="00F00E38"/>
    <w:rsid w:val="00F05944"/>
    <w:rsid w:val="00F313C7"/>
    <w:rsid w:val="00F3437E"/>
    <w:rsid w:val="00F638E8"/>
    <w:rsid w:val="00F82ED3"/>
    <w:rsid w:val="00FD7D44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7B8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Style2">
    <w:name w:val="Style2"/>
    <w:basedOn w:val="Normal"/>
    <w:rsid w:val="0001467B"/>
    <w:rPr>
      <w:rFonts w:ascii="Arial" w:eastAsia="Times New Roman" w:hAnsi="Arial" w:cs="Arial"/>
      <w:sz w:val="20"/>
      <w:lang w:eastAsia="en-US" w:bidi="he-IL"/>
    </w:rPr>
  </w:style>
  <w:style w:type="character" w:styleId="Strong">
    <w:name w:val="Strong"/>
    <w:basedOn w:val="DefaultParagraphFont"/>
    <w:qFormat/>
    <w:rsid w:val="00D847B8"/>
    <w:rPr>
      <w:b/>
      <w:bCs/>
    </w:rPr>
  </w:style>
  <w:style w:type="table" w:styleId="TableGrid">
    <w:name w:val="Table Grid"/>
    <w:basedOn w:val="TableNormal"/>
    <w:rsid w:val="00D847B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2B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602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12B"/>
    <w:rPr>
      <w:rFonts w:eastAsia="SimSu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60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12B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7B8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Style2">
    <w:name w:val="Style2"/>
    <w:basedOn w:val="Normal"/>
    <w:rsid w:val="0001467B"/>
    <w:rPr>
      <w:rFonts w:ascii="Arial" w:eastAsia="Times New Roman" w:hAnsi="Arial" w:cs="Arial"/>
      <w:sz w:val="20"/>
      <w:lang w:eastAsia="en-US" w:bidi="he-IL"/>
    </w:rPr>
  </w:style>
  <w:style w:type="character" w:styleId="Strong">
    <w:name w:val="Strong"/>
    <w:basedOn w:val="DefaultParagraphFont"/>
    <w:qFormat/>
    <w:rsid w:val="00D847B8"/>
    <w:rPr>
      <w:b/>
      <w:bCs/>
    </w:rPr>
  </w:style>
  <w:style w:type="table" w:styleId="TableGrid">
    <w:name w:val="Table Grid"/>
    <w:basedOn w:val="TableNormal"/>
    <w:rsid w:val="00D847B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2B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602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12B"/>
    <w:rPr>
      <w:rFonts w:eastAsia="SimSu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60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12B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AE088C90</Template>
  <TotalTime>4</TotalTime>
  <Pages>1</Pages>
  <Words>315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3</cp:revision>
  <dcterms:created xsi:type="dcterms:W3CDTF">2012-04-10T09:02:00Z</dcterms:created>
  <dcterms:modified xsi:type="dcterms:W3CDTF">2012-06-19T13:14:00Z</dcterms:modified>
</cp:coreProperties>
</file>